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046B" w14:textId="18D8FB10" w:rsidR="000346B8" w:rsidRPr="00E7165C" w:rsidRDefault="00CC4DE7" w:rsidP="007102F5">
      <w:pPr>
        <w:jc w:val="center"/>
        <w:rPr>
          <w:b/>
          <w:sz w:val="28"/>
          <w:szCs w:val="28"/>
        </w:rPr>
      </w:pPr>
      <w:r w:rsidRPr="00E7165C">
        <w:rPr>
          <w:b/>
          <w:sz w:val="28"/>
          <w:szCs w:val="28"/>
        </w:rPr>
        <w:t>Supplemental Graduate Fellowship and Recruitment Program</w:t>
      </w:r>
      <w:r w:rsidR="007102F5">
        <w:rPr>
          <w:b/>
          <w:sz w:val="28"/>
          <w:szCs w:val="28"/>
        </w:rPr>
        <w:t xml:space="preserve"> (SGFRF) </w:t>
      </w:r>
      <w:r w:rsidRPr="00E7165C">
        <w:rPr>
          <w:b/>
          <w:sz w:val="28"/>
          <w:szCs w:val="28"/>
        </w:rPr>
        <w:t>Scoring Guide</w:t>
      </w:r>
    </w:p>
    <w:p w14:paraId="14A366B8" w14:textId="77777777" w:rsidR="00341694" w:rsidRDefault="00341694"/>
    <w:tbl>
      <w:tblPr>
        <w:tblStyle w:val="TableGrid"/>
        <w:tblW w:w="12950" w:type="dxa"/>
        <w:tblLook w:val="04A0" w:firstRow="1" w:lastRow="0" w:firstColumn="1" w:lastColumn="0" w:noHBand="0" w:noVBand="1"/>
      </w:tblPr>
      <w:tblGrid>
        <w:gridCol w:w="1475"/>
        <w:gridCol w:w="4640"/>
        <w:gridCol w:w="3139"/>
        <w:gridCol w:w="3696"/>
      </w:tblGrid>
      <w:tr w:rsidR="005C63EE" w:rsidRPr="00412913" w14:paraId="0ADF8177" w14:textId="05C8352E" w:rsidTr="00CC4DE7">
        <w:tc>
          <w:tcPr>
            <w:tcW w:w="1475" w:type="dxa"/>
            <w:shd w:val="clear" w:color="auto" w:fill="D9D9D9" w:themeFill="background1" w:themeFillShade="D9"/>
          </w:tcPr>
          <w:p w14:paraId="5BA86627" w14:textId="04C6E630" w:rsidR="00CC4DE7" w:rsidRPr="00412913" w:rsidRDefault="00E7165C">
            <w:pPr>
              <w:rPr>
                <w:b/>
              </w:rPr>
            </w:pPr>
            <w:r>
              <w:rPr>
                <w:b/>
              </w:rPr>
              <w:t>Criteria</w:t>
            </w:r>
          </w:p>
        </w:tc>
        <w:tc>
          <w:tcPr>
            <w:tcW w:w="4640" w:type="dxa"/>
            <w:shd w:val="clear" w:color="auto" w:fill="D9D9D9" w:themeFill="background1" w:themeFillShade="D9"/>
          </w:tcPr>
          <w:p w14:paraId="6663C0AE" w14:textId="24237F50" w:rsidR="00CC4DE7" w:rsidRPr="00412913" w:rsidRDefault="00CC4DE7" w:rsidP="00CC4DE7">
            <w:pPr>
              <w:rPr>
                <w:b/>
              </w:rPr>
            </w:pPr>
            <w:r>
              <w:rPr>
                <w:b/>
              </w:rPr>
              <w:t>Excellent (9 to 10 Points)</w:t>
            </w:r>
          </w:p>
        </w:tc>
        <w:tc>
          <w:tcPr>
            <w:tcW w:w="3139" w:type="dxa"/>
            <w:shd w:val="clear" w:color="auto" w:fill="D9D9D9" w:themeFill="background1" w:themeFillShade="D9"/>
          </w:tcPr>
          <w:p w14:paraId="760D9352" w14:textId="61CC4979" w:rsidR="00CC4DE7" w:rsidRDefault="00CC4DE7" w:rsidP="00CC4DE7">
            <w:pPr>
              <w:rPr>
                <w:b/>
              </w:rPr>
            </w:pPr>
            <w:r>
              <w:rPr>
                <w:b/>
              </w:rPr>
              <w:t>Fair (6 to 8 Points)</w:t>
            </w:r>
          </w:p>
        </w:tc>
        <w:tc>
          <w:tcPr>
            <w:tcW w:w="3696" w:type="dxa"/>
            <w:shd w:val="clear" w:color="auto" w:fill="D9D9D9" w:themeFill="background1" w:themeFillShade="D9"/>
          </w:tcPr>
          <w:p w14:paraId="6CACE88B" w14:textId="426FAB26" w:rsidR="00CC4DE7" w:rsidRDefault="00CC4DE7" w:rsidP="00CC4DE7">
            <w:pPr>
              <w:rPr>
                <w:b/>
              </w:rPr>
            </w:pPr>
            <w:r>
              <w:rPr>
                <w:b/>
              </w:rPr>
              <w:t>Poor (0 to 5 Point)</w:t>
            </w:r>
          </w:p>
        </w:tc>
      </w:tr>
      <w:tr w:rsidR="005C63EE" w14:paraId="645729D4" w14:textId="40621D99" w:rsidTr="00CC4DE7">
        <w:tc>
          <w:tcPr>
            <w:tcW w:w="1475" w:type="dxa"/>
          </w:tcPr>
          <w:p w14:paraId="715311D1" w14:textId="77777777" w:rsidR="00E7165C" w:rsidRDefault="00E7165C"/>
          <w:p w14:paraId="3B765D77" w14:textId="6F9CE6E7" w:rsidR="00CC4DE7" w:rsidRPr="00E7165C" w:rsidRDefault="00CC4DE7">
            <w:pPr>
              <w:rPr>
                <w:b/>
                <w:bCs/>
              </w:rPr>
            </w:pPr>
            <w:r w:rsidRPr="00E7165C">
              <w:rPr>
                <w:b/>
                <w:bCs/>
              </w:rPr>
              <w:t>Recruiting</w:t>
            </w:r>
          </w:p>
        </w:tc>
        <w:tc>
          <w:tcPr>
            <w:tcW w:w="4640" w:type="dxa"/>
          </w:tcPr>
          <w:p w14:paraId="0A6F6C5D" w14:textId="77777777" w:rsidR="00E7165C" w:rsidRPr="006321B0" w:rsidRDefault="00E7165C" w:rsidP="00CC4DE7">
            <w:pPr>
              <w:rPr>
                <w:sz w:val="20"/>
                <w:szCs w:val="20"/>
              </w:rPr>
            </w:pPr>
          </w:p>
          <w:p w14:paraId="46EC70A7" w14:textId="355A3CEE" w:rsidR="00E7165C" w:rsidRPr="006321B0" w:rsidRDefault="00CC4DE7" w:rsidP="00CC4DE7">
            <w:pPr>
              <w:rPr>
                <w:sz w:val="20"/>
                <w:szCs w:val="20"/>
              </w:rPr>
            </w:pPr>
            <w:r w:rsidRPr="006321B0">
              <w:rPr>
                <w:sz w:val="20"/>
                <w:szCs w:val="20"/>
              </w:rPr>
              <w:t>Recruitment discussion builds the case of excellence in recruitment OR clearly demonstrates gaps in recruitment in relation to how proposed funding can be used to eliminate said gaps (either in student fellowships or through a recruitment program).  A strong case for how the funds will aid in adding under-represented students to the program is present.</w:t>
            </w:r>
          </w:p>
        </w:tc>
        <w:tc>
          <w:tcPr>
            <w:tcW w:w="3139" w:type="dxa"/>
          </w:tcPr>
          <w:p w14:paraId="0B4AE4AB" w14:textId="77777777" w:rsidR="00E7165C" w:rsidRPr="006321B0" w:rsidRDefault="00E7165C">
            <w:pPr>
              <w:rPr>
                <w:sz w:val="20"/>
                <w:szCs w:val="20"/>
              </w:rPr>
            </w:pPr>
          </w:p>
          <w:p w14:paraId="14D86F82" w14:textId="1ADF8054" w:rsidR="00CC4DE7" w:rsidRPr="006321B0" w:rsidRDefault="00CC4DE7">
            <w:pPr>
              <w:rPr>
                <w:sz w:val="20"/>
                <w:szCs w:val="20"/>
              </w:rPr>
            </w:pPr>
            <w:r w:rsidRPr="006321B0">
              <w:rPr>
                <w:sz w:val="20"/>
                <w:szCs w:val="20"/>
              </w:rPr>
              <w:t>Recruitment plan provides an overview of either excellence or gaps, but lacks a clear connection to the funding proposed.  Some conversation regarding under-represented students sought occurs, but is not compelling.</w:t>
            </w:r>
          </w:p>
        </w:tc>
        <w:tc>
          <w:tcPr>
            <w:tcW w:w="3696" w:type="dxa"/>
          </w:tcPr>
          <w:p w14:paraId="6F1AEC61" w14:textId="77777777" w:rsidR="00E7165C" w:rsidRPr="006321B0" w:rsidRDefault="00E7165C" w:rsidP="00CC4DE7">
            <w:pPr>
              <w:rPr>
                <w:sz w:val="20"/>
                <w:szCs w:val="20"/>
              </w:rPr>
            </w:pPr>
          </w:p>
          <w:p w14:paraId="0F164F3A" w14:textId="533338E8" w:rsidR="00CC4DE7" w:rsidRPr="006321B0" w:rsidRDefault="00CC4DE7" w:rsidP="00CC4DE7">
            <w:pPr>
              <w:rPr>
                <w:sz w:val="20"/>
                <w:szCs w:val="20"/>
              </w:rPr>
            </w:pPr>
            <w:r w:rsidRPr="006321B0">
              <w:rPr>
                <w:sz w:val="20"/>
                <w:szCs w:val="20"/>
              </w:rPr>
              <w:t>Recruitment discussion lacks a clear case for excellence or lacks a vision for the department in regard to gaps.  Little to no mention regarding the types of under-represented students sought and/or lack</w:t>
            </w:r>
            <w:r w:rsidR="00AF4A37" w:rsidRPr="006321B0">
              <w:rPr>
                <w:sz w:val="20"/>
                <w:szCs w:val="20"/>
              </w:rPr>
              <w:t xml:space="preserve"> of case for the types of under</w:t>
            </w:r>
            <w:r w:rsidRPr="006321B0">
              <w:rPr>
                <w:sz w:val="20"/>
                <w:szCs w:val="20"/>
              </w:rPr>
              <w:t>represented students sought.</w:t>
            </w:r>
          </w:p>
        </w:tc>
      </w:tr>
      <w:tr w:rsidR="005C63EE" w14:paraId="616B72DB" w14:textId="65EA12F9" w:rsidTr="00CC4DE7">
        <w:tc>
          <w:tcPr>
            <w:tcW w:w="1475" w:type="dxa"/>
          </w:tcPr>
          <w:p w14:paraId="0C1338E9" w14:textId="77777777" w:rsidR="00E7165C" w:rsidRDefault="00E7165C"/>
          <w:p w14:paraId="7EECA006" w14:textId="34C887EC" w:rsidR="00CC4DE7" w:rsidRPr="00E7165C" w:rsidRDefault="00CC4DE7">
            <w:pPr>
              <w:rPr>
                <w:b/>
                <w:bCs/>
              </w:rPr>
            </w:pPr>
            <w:r w:rsidRPr="00E7165C">
              <w:rPr>
                <w:b/>
                <w:bCs/>
              </w:rPr>
              <w:t>Retention</w:t>
            </w:r>
          </w:p>
        </w:tc>
        <w:tc>
          <w:tcPr>
            <w:tcW w:w="4640" w:type="dxa"/>
          </w:tcPr>
          <w:p w14:paraId="3613E86E" w14:textId="77777777" w:rsidR="00E7165C" w:rsidRPr="006321B0" w:rsidRDefault="00E7165C" w:rsidP="00AF4A37">
            <w:pPr>
              <w:rPr>
                <w:sz w:val="20"/>
                <w:szCs w:val="20"/>
              </w:rPr>
            </w:pPr>
          </w:p>
          <w:p w14:paraId="56C4099A" w14:textId="61E04715" w:rsidR="00E7165C" w:rsidRPr="006321B0" w:rsidRDefault="00CC4DE7" w:rsidP="00AF4A37">
            <w:pPr>
              <w:rPr>
                <w:sz w:val="20"/>
                <w:szCs w:val="20"/>
              </w:rPr>
            </w:pPr>
            <w:r w:rsidRPr="006321B0">
              <w:rPr>
                <w:sz w:val="20"/>
                <w:szCs w:val="20"/>
              </w:rPr>
              <w:t>Program outlines intentionality in the retention of graduate students.  Specific examples outline how students are brought into the department culture</w:t>
            </w:r>
            <w:r w:rsidR="00AF4A37" w:rsidRPr="006321B0">
              <w:rPr>
                <w:sz w:val="20"/>
                <w:szCs w:val="20"/>
              </w:rPr>
              <w:t>;</w:t>
            </w:r>
            <w:r w:rsidRPr="006321B0">
              <w:rPr>
                <w:sz w:val="20"/>
                <w:szCs w:val="20"/>
              </w:rPr>
              <w:t xml:space="preserve"> how they are effectively communicated with</w:t>
            </w:r>
            <w:r w:rsidR="00AF4A37" w:rsidRPr="006321B0">
              <w:rPr>
                <w:sz w:val="20"/>
                <w:szCs w:val="20"/>
              </w:rPr>
              <w:t>;</w:t>
            </w:r>
            <w:r w:rsidRPr="006321B0">
              <w:rPr>
                <w:sz w:val="20"/>
                <w:szCs w:val="20"/>
              </w:rPr>
              <w:t xml:space="preserve"> and how their progress is being support</w:t>
            </w:r>
            <w:r w:rsidR="00C611ED" w:rsidRPr="006321B0">
              <w:rPr>
                <w:sz w:val="20"/>
                <w:szCs w:val="20"/>
              </w:rPr>
              <w:t>ed</w:t>
            </w:r>
            <w:r w:rsidRPr="006321B0">
              <w:rPr>
                <w:sz w:val="20"/>
                <w:szCs w:val="20"/>
              </w:rPr>
              <w:t xml:space="preserve"> through programs, culture</w:t>
            </w:r>
            <w:r w:rsidR="00AF4A37" w:rsidRPr="006321B0">
              <w:rPr>
                <w:sz w:val="20"/>
                <w:szCs w:val="20"/>
              </w:rPr>
              <w:t>,</w:t>
            </w:r>
            <w:r w:rsidRPr="006321B0">
              <w:rPr>
                <w:sz w:val="20"/>
                <w:szCs w:val="20"/>
              </w:rPr>
              <w:t xml:space="preserve"> and/or funding.</w:t>
            </w:r>
          </w:p>
        </w:tc>
        <w:tc>
          <w:tcPr>
            <w:tcW w:w="3139" w:type="dxa"/>
          </w:tcPr>
          <w:p w14:paraId="024BFD66" w14:textId="77777777" w:rsidR="00E7165C" w:rsidRPr="006321B0" w:rsidRDefault="00E7165C" w:rsidP="002346E0">
            <w:pPr>
              <w:rPr>
                <w:sz w:val="20"/>
                <w:szCs w:val="20"/>
              </w:rPr>
            </w:pPr>
          </w:p>
          <w:p w14:paraId="395D333A" w14:textId="587B03C2" w:rsidR="00CC4DE7" w:rsidRPr="006321B0" w:rsidRDefault="00CC4DE7" w:rsidP="002346E0">
            <w:pPr>
              <w:rPr>
                <w:sz w:val="20"/>
                <w:szCs w:val="20"/>
              </w:rPr>
            </w:pPr>
            <w:r w:rsidRPr="006321B0">
              <w:rPr>
                <w:sz w:val="20"/>
                <w:szCs w:val="20"/>
              </w:rPr>
              <w:t>Retention discussion shows signs of intentionality but lacks depth, innovation, or fails to address the life span of a graduate student.</w:t>
            </w:r>
          </w:p>
        </w:tc>
        <w:tc>
          <w:tcPr>
            <w:tcW w:w="3696" w:type="dxa"/>
          </w:tcPr>
          <w:p w14:paraId="48AA471C" w14:textId="77777777" w:rsidR="00E7165C" w:rsidRPr="006321B0" w:rsidRDefault="00E7165C" w:rsidP="002346E0">
            <w:pPr>
              <w:rPr>
                <w:sz w:val="20"/>
                <w:szCs w:val="20"/>
              </w:rPr>
            </w:pPr>
          </w:p>
          <w:p w14:paraId="5FE6CF6B" w14:textId="3844F651" w:rsidR="00CC4DE7" w:rsidRPr="006321B0" w:rsidRDefault="00CC4DE7" w:rsidP="002346E0">
            <w:pPr>
              <w:rPr>
                <w:sz w:val="20"/>
                <w:szCs w:val="20"/>
              </w:rPr>
            </w:pPr>
            <w:r w:rsidRPr="006321B0">
              <w:rPr>
                <w:sz w:val="20"/>
                <w:szCs w:val="20"/>
              </w:rPr>
              <w:t>Retention discussion lacks depth, innovation, and/or fails to address the life span of a graduate student.</w:t>
            </w:r>
          </w:p>
        </w:tc>
      </w:tr>
      <w:tr w:rsidR="005C63EE" w14:paraId="105A1446" w14:textId="34B02A77" w:rsidTr="00CC4DE7">
        <w:tc>
          <w:tcPr>
            <w:tcW w:w="1475" w:type="dxa"/>
          </w:tcPr>
          <w:p w14:paraId="711D605F" w14:textId="77777777" w:rsidR="00E7165C" w:rsidRDefault="00E7165C"/>
          <w:p w14:paraId="72223803" w14:textId="1A8682F2" w:rsidR="00CC4DE7" w:rsidRPr="00E7165C" w:rsidRDefault="005C63EE">
            <w:pPr>
              <w:rPr>
                <w:b/>
                <w:bCs/>
              </w:rPr>
            </w:pPr>
            <w:r w:rsidRPr="00E7165C">
              <w:rPr>
                <w:b/>
                <w:bCs/>
              </w:rPr>
              <w:t>Completion</w:t>
            </w:r>
            <w:r w:rsidR="00E7165C">
              <w:rPr>
                <w:b/>
                <w:bCs/>
              </w:rPr>
              <w:t xml:space="preserve"> </w:t>
            </w:r>
            <w:proofErr w:type="gramStart"/>
            <w:r w:rsidR="00E7165C">
              <w:rPr>
                <w:b/>
                <w:bCs/>
              </w:rPr>
              <w:t xml:space="preserve">and </w:t>
            </w:r>
            <w:r w:rsidRPr="00E7165C">
              <w:rPr>
                <w:b/>
                <w:bCs/>
              </w:rPr>
              <w:t xml:space="preserve"> </w:t>
            </w:r>
            <w:r w:rsidR="00CC4DE7" w:rsidRPr="00E7165C">
              <w:rPr>
                <w:b/>
                <w:bCs/>
              </w:rPr>
              <w:t>Placement</w:t>
            </w:r>
            <w:proofErr w:type="gramEnd"/>
            <w:r w:rsidRPr="00E7165C">
              <w:rPr>
                <w:b/>
                <w:bCs/>
              </w:rPr>
              <w:t xml:space="preserve"> </w:t>
            </w:r>
          </w:p>
        </w:tc>
        <w:tc>
          <w:tcPr>
            <w:tcW w:w="4640" w:type="dxa"/>
          </w:tcPr>
          <w:p w14:paraId="66230D33" w14:textId="77777777" w:rsidR="00E7165C" w:rsidRPr="006321B0" w:rsidRDefault="00E7165C">
            <w:pPr>
              <w:rPr>
                <w:sz w:val="20"/>
                <w:szCs w:val="20"/>
              </w:rPr>
            </w:pPr>
          </w:p>
          <w:p w14:paraId="25CBBFFB" w14:textId="0B869BF3" w:rsidR="00E7165C" w:rsidRPr="006321B0" w:rsidRDefault="00CC4DE7">
            <w:pPr>
              <w:rPr>
                <w:sz w:val="20"/>
                <w:szCs w:val="20"/>
              </w:rPr>
            </w:pPr>
            <w:r w:rsidRPr="006321B0">
              <w:rPr>
                <w:sz w:val="20"/>
                <w:szCs w:val="20"/>
              </w:rPr>
              <w:t>Completion rates indicate high retention of students through the program. Time t</w:t>
            </w:r>
            <w:bookmarkStart w:id="0" w:name="_GoBack"/>
            <w:bookmarkEnd w:id="0"/>
            <w:r w:rsidRPr="006321B0">
              <w:rPr>
                <w:sz w:val="20"/>
                <w:szCs w:val="20"/>
              </w:rPr>
              <w:t>o completion makes sense in</w:t>
            </w:r>
            <w:r w:rsidR="005C63EE" w:rsidRPr="006321B0">
              <w:rPr>
                <w:sz w:val="20"/>
                <w:szCs w:val="20"/>
              </w:rPr>
              <w:t xml:space="preserve"> light of the discipline. </w:t>
            </w:r>
            <w:r w:rsidR="007102F5" w:rsidRPr="006321B0">
              <w:rPr>
                <w:sz w:val="20"/>
                <w:szCs w:val="20"/>
              </w:rPr>
              <w:t>Indication that</w:t>
            </w:r>
            <w:r w:rsidR="00AF4A37" w:rsidRPr="006321B0">
              <w:rPr>
                <w:sz w:val="20"/>
                <w:szCs w:val="20"/>
              </w:rPr>
              <w:t xml:space="preserve"> </w:t>
            </w:r>
            <w:r w:rsidRPr="006321B0">
              <w:rPr>
                <w:sz w:val="20"/>
                <w:szCs w:val="20"/>
              </w:rPr>
              <w:t>students are competitive in securing positions in the academic and/or non-academic workforce.</w:t>
            </w:r>
            <w:r w:rsidR="005C63EE" w:rsidRPr="006321B0">
              <w:rPr>
                <w:sz w:val="20"/>
                <w:szCs w:val="20"/>
              </w:rPr>
              <w:t xml:space="preserve">  </w:t>
            </w:r>
            <w:r w:rsidR="00E7165C" w:rsidRPr="006321B0">
              <w:rPr>
                <w:sz w:val="20"/>
                <w:szCs w:val="20"/>
              </w:rPr>
              <w:t xml:space="preserve">Department prepares their students for the job market through prof. dev./mentoring. </w:t>
            </w:r>
          </w:p>
        </w:tc>
        <w:tc>
          <w:tcPr>
            <w:tcW w:w="3139" w:type="dxa"/>
          </w:tcPr>
          <w:p w14:paraId="3F0271F8" w14:textId="77777777" w:rsidR="00E7165C" w:rsidRPr="006321B0" w:rsidRDefault="00E7165C" w:rsidP="00AF4A37">
            <w:pPr>
              <w:rPr>
                <w:sz w:val="20"/>
                <w:szCs w:val="20"/>
              </w:rPr>
            </w:pPr>
          </w:p>
          <w:p w14:paraId="0681954A" w14:textId="79EE6356" w:rsidR="00CC4DE7" w:rsidRPr="006321B0" w:rsidRDefault="00FC179B" w:rsidP="00AF4A37">
            <w:pPr>
              <w:rPr>
                <w:sz w:val="20"/>
                <w:szCs w:val="20"/>
              </w:rPr>
            </w:pPr>
            <w:r w:rsidRPr="006321B0">
              <w:rPr>
                <w:sz w:val="20"/>
                <w:szCs w:val="20"/>
              </w:rPr>
              <w:t xml:space="preserve">Data and discussion show promise of thoughtfulness in regard to time of completion, placement type and placement rate.  </w:t>
            </w:r>
          </w:p>
        </w:tc>
        <w:tc>
          <w:tcPr>
            <w:tcW w:w="3696" w:type="dxa"/>
          </w:tcPr>
          <w:p w14:paraId="7B25F506" w14:textId="77777777" w:rsidR="00E7165C" w:rsidRPr="006321B0" w:rsidRDefault="00E7165C" w:rsidP="00AF4A37">
            <w:pPr>
              <w:rPr>
                <w:sz w:val="20"/>
                <w:szCs w:val="20"/>
              </w:rPr>
            </w:pPr>
          </w:p>
          <w:p w14:paraId="6559F4F7" w14:textId="41F6066E" w:rsidR="00CC4DE7" w:rsidRPr="006321B0" w:rsidRDefault="005C63EE" w:rsidP="00AF4A37">
            <w:pPr>
              <w:rPr>
                <w:sz w:val="20"/>
                <w:szCs w:val="20"/>
              </w:rPr>
            </w:pPr>
            <w:r w:rsidRPr="006321B0">
              <w:rPr>
                <w:sz w:val="20"/>
                <w:szCs w:val="20"/>
              </w:rPr>
              <w:t>Data and discussion show little sign of t</w:t>
            </w:r>
            <w:r w:rsidR="00AF4A37" w:rsidRPr="006321B0">
              <w:rPr>
                <w:sz w:val="20"/>
                <w:szCs w:val="20"/>
              </w:rPr>
              <w:t>houghtfulness in regard to time</w:t>
            </w:r>
            <w:r w:rsidRPr="006321B0">
              <w:rPr>
                <w:sz w:val="20"/>
                <w:szCs w:val="20"/>
              </w:rPr>
              <w:t xml:space="preserve"> completion, placement type</w:t>
            </w:r>
            <w:r w:rsidR="00AF4A37" w:rsidRPr="006321B0">
              <w:rPr>
                <w:sz w:val="20"/>
                <w:szCs w:val="20"/>
              </w:rPr>
              <w:t>,</w:t>
            </w:r>
            <w:r w:rsidRPr="006321B0">
              <w:rPr>
                <w:sz w:val="20"/>
                <w:szCs w:val="20"/>
              </w:rPr>
              <w:t xml:space="preserve"> and placement rate.  </w:t>
            </w:r>
          </w:p>
        </w:tc>
      </w:tr>
      <w:tr w:rsidR="006321B0" w14:paraId="21AD8E07" w14:textId="77777777" w:rsidTr="00CC4DE7">
        <w:tc>
          <w:tcPr>
            <w:tcW w:w="1475" w:type="dxa"/>
          </w:tcPr>
          <w:p w14:paraId="14EE269B" w14:textId="77777777" w:rsidR="006321B0" w:rsidRDefault="006321B0" w:rsidP="006321B0"/>
          <w:p w14:paraId="03F81EAE" w14:textId="0F4BC4C7" w:rsidR="006321B0" w:rsidRDefault="006321B0" w:rsidP="006321B0">
            <w:pPr>
              <w:rPr>
                <w:b/>
                <w:bCs/>
              </w:rPr>
            </w:pPr>
            <w:r w:rsidRPr="00E7165C">
              <w:rPr>
                <w:b/>
                <w:bCs/>
              </w:rPr>
              <w:t>Use of Funds</w:t>
            </w:r>
          </w:p>
        </w:tc>
        <w:tc>
          <w:tcPr>
            <w:tcW w:w="4640" w:type="dxa"/>
          </w:tcPr>
          <w:p w14:paraId="68C8D02C" w14:textId="77777777" w:rsidR="006321B0" w:rsidRPr="006321B0" w:rsidRDefault="006321B0" w:rsidP="006321B0">
            <w:pPr>
              <w:rPr>
                <w:sz w:val="20"/>
                <w:szCs w:val="20"/>
              </w:rPr>
            </w:pPr>
          </w:p>
          <w:p w14:paraId="60BD9C0D" w14:textId="48443037" w:rsidR="006321B0" w:rsidRPr="006321B0" w:rsidRDefault="006321B0" w:rsidP="006321B0">
            <w:pPr>
              <w:rPr>
                <w:sz w:val="20"/>
                <w:szCs w:val="20"/>
              </w:rPr>
            </w:pPr>
            <w:r w:rsidRPr="006321B0">
              <w:rPr>
                <w:sz w:val="20"/>
                <w:szCs w:val="20"/>
              </w:rPr>
              <w:t xml:space="preserve">The use of funds seems appropriate as outlined.  The use of funds justification makes sense in light of the </w:t>
            </w:r>
            <w:r w:rsidRPr="006321B0">
              <w:rPr>
                <w:sz w:val="20"/>
                <w:szCs w:val="20"/>
              </w:rPr>
              <w:t>rest</w:t>
            </w:r>
            <w:r w:rsidRPr="006321B0">
              <w:rPr>
                <w:sz w:val="20"/>
                <w:szCs w:val="20"/>
              </w:rPr>
              <w:t xml:space="preserve"> of the narrative. </w:t>
            </w:r>
          </w:p>
        </w:tc>
        <w:tc>
          <w:tcPr>
            <w:tcW w:w="3139" w:type="dxa"/>
          </w:tcPr>
          <w:p w14:paraId="0BCD86DD" w14:textId="77777777" w:rsidR="006321B0" w:rsidRPr="006321B0" w:rsidRDefault="006321B0" w:rsidP="006321B0">
            <w:pPr>
              <w:rPr>
                <w:sz w:val="20"/>
                <w:szCs w:val="20"/>
              </w:rPr>
            </w:pPr>
          </w:p>
          <w:p w14:paraId="65188A51" w14:textId="722862EB" w:rsidR="006321B0" w:rsidRPr="006321B0" w:rsidRDefault="006321B0" w:rsidP="006321B0">
            <w:pPr>
              <w:rPr>
                <w:sz w:val="20"/>
                <w:szCs w:val="20"/>
              </w:rPr>
            </w:pPr>
            <w:r w:rsidRPr="006321B0">
              <w:rPr>
                <w:sz w:val="20"/>
                <w:szCs w:val="20"/>
              </w:rPr>
              <w:t xml:space="preserve">Funding and rationale match the narrative, but </w:t>
            </w:r>
            <w:r w:rsidRPr="006321B0">
              <w:rPr>
                <w:sz w:val="20"/>
                <w:szCs w:val="20"/>
              </w:rPr>
              <w:t>are not</w:t>
            </w:r>
            <w:r w:rsidRPr="006321B0">
              <w:rPr>
                <w:sz w:val="20"/>
                <w:szCs w:val="20"/>
              </w:rPr>
              <w:t xml:space="preserve"> compelling.</w:t>
            </w:r>
          </w:p>
        </w:tc>
        <w:tc>
          <w:tcPr>
            <w:tcW w:w="3696" w:type="dxa"/>
          </w:tcPr>
          <w:p w14:paraId="3FEDC6DC" w14:textId="77777777" w:rsidR="006321B0" w:rsidRPr="006321B0" w:rsidRDefault="006321B0" w:rsidP="006321B0">
            <w:pPr>
              <w:rPr>
                <w:sz w:val="20"/>
                <w:szCs w:val="20"/>
              </w:rPr>
            </w:pPr>
          </w:p>
          <w:p w14:paraId="797F3F55" w14:textId="33BA67E8" w:rsidR="006321B0" w:rsidRPr="006321B0" w:rsidRDefault="006321B0" w:rsidP="006321B0">
            <w:pPr>
              <w:rPr>
                <w:sz w:val="20"/>
                <w:szCs w:val="20"/>
              </w:rPr>
            </w:pPr>
            <w:r w:rsidRPr="006321B0">
              <w:rPr>
                <w:sz w:val="20"/>
                <w:szCs w:val="20"/>
              </w:rPr>
              <w:t>Funding and rationale do not match the narrative.</w:t>
            </w:r>
          </w:p>
        </w:tc>
      </w:tr>
      <w:tr w:rsidR="00E7165C" w14:paraId="7A7DC63A" w14:textId="77777777" w:rsidTr="00CC4DE7">
        <w:tc>
          <w:tcPr>
            <w:tcW w:w="1475" w:type="dxa"/>
          </w:tcPr>
          <w:p w14:paraId="1DB503F2" w14:textId="77777777" w:rsidR="006321B0" w:rsidRDefault="006321B0">
            <w:pPr>
              <w:rPr>
                <w:b/>
                <w:bCs/>
              </w:rPr>
            </w:pPr>
          </w:p>
          <w:p w14:paraId="7993F03C" w14:textId="5E5B8943" w:rsidR="00E7165C" w:rsidRPr="00E7165C" w:rsidRDefault="00E7165C">
            <w:pPr>
              <w:rPr>
                <w:b/>
                <w:bCs/>
              </w:rPr>
            </w:pPr>
            <w:r w:rsidRPr="00E7165C">
              <w:rPr>
                <w:b/>
                <w:bCs/>
              </w:rPr>
              <w:t>Student Data</w:t>
            </w:r>
            <w:r w:rsidR="006321B0">
              <w:rPr>
                <w:b/>
                <w:bCs/>
              </w:rPr>
              <w:t xml:space="preserve"> (Appendix)</w:t>
            </w:r>
          </w:p>
        </w:tc>
        <w:tc>
          <w:tcPr>
            <w:tcW w:w="4640" w:type="dxa"/>
          </w:tcPr>
          <w:p w14:paraId="572C0845" w14:textId="77777777" w:rsidR="00E7165C" w:rsidRPr="006321B0" w:rsidRDefault="00E7165C" w:rsidP="00600F56">
            <w:pPr>
              <w:rPr>
                <w:sz w:val="20"/>
                <w:szCs w:val="20"/>
              </w:rPr>
            </w:pPr>
          </w:p>
          <w:p w14:paraId="3B743591" w14:textId="1FED5E55" w:rsidR="007102F5" w:rsidRPr="006321B0" w:rsidRDefault="007102F5" w:rsidP="00600F56">
            <w:pPr>
              <w:rPr>
                <w:sz w:val="20"/>
                <w:szCs w:val="20"/>
              </w:rPr>
            </w:pPr>
            <w:r w:rsidRPr="006321B0">
              <w:rPr>
                <w:sz w:val="20"/>
                <w:szCs w:val="20"/>
              </w:rPr>
              <w:t>Student data show success in students engaging with the scholarly field outside the university (e.g., conferences; publications)</w:t>
            </w:r>
            <w:r w:rsidR="006321B0" w:rsidRPr="006321B0">
              <w:rPr>
                <w:sz w:val="20"/>
                <w:szCs w:val="20"/>
              </w:rPr>
              <w:t>.</w:t>
            </w:r>
            <w:r w:rsidRPr="006321B0">
              <w:rPr>
                <w:sz w:val="20"/>
                <w:szCs w:val="20"/>
              </w:rPr>
              <w:t xml:space="preserve"> Data show program has strong commitment to funding their students</w:t>
            </w:r>
            <w:r w:rsidR="006321B0" w:rsidRPr="006321B0">
              <w:rPr>
                <w:sz w:val="20"/>
                <w:szCs w:val="20"/>
              </w:rPr>
              <w:t xml:space="preserve">. Overall, data indicate student and program success. </w:t>
            </w:r>
          </w:p>
        </w:tc>
        <w:tc>
          <w:tcPr>
            <w:tcW w:w="3139" w:type="dxa"/>
          </w:tcPr>
          <w:p w14:paraId="3D16621A" w14:textId="77777777" w:rsidR="00E7165C" w:rsidRPr="006321B0" w:rsidRDefault="00E7165C" w:rsidP="00AF4A37">
            <w:pPr>
              <w:rPr>
                <w:sz w:val="20"/>
                <w:szCs w:val="20"/>
              </w:rPr>
            </w:pPr>
          </w:p>
          <w:p w14:paraId="7437DA9B" w14:textId="46B7AC44" w:rsidR="00E7165C" w:rsidRPr="006321B0" w:rsidRDefault="007102F5" w:rsidP="00AF4A37">
            <w:pPr>
              <w:rPr>
                <w:sz w:val="20"/>
                <w:szCs w:val="20"/>
              </w:rPr>
            </w:pPr>
            <w:r w:rsidRPr="006321B0">
              <w:rPr>
                <w:sz w:val="20"/>
                <w:szCs w:val="20"/>
              </w:rPr>
              <w:t>Data</w:t>
            </w:r>
            <w:r w:rsidR="00E7165C" w:rsidRPr="006321B0">
              <w:rPr>
                <w:sz w:val="20"/>
                <w:szCs w:val="20"/>
              </w:rPr>
              <w:t xml:space="preserve"> show</w:t>
            </w:r>
            <w:r w:rsidR="00E7165C" w:rsidRPr="006321B0">
              <w:rPr>
                <w:sz w:val="20"/>
                <w:szCs w:val="20"/>
              </w:rPr>
              <w:t xml:space="preserve"> </w:t>
            </w:r>
            <w:r w:rsidR="00E7165C" w:rsidRPr="006321B0">
              <w:rPr>
                <w:sz w:val="20"/>
                <w:szCs w:val="20"/>
              </w:rPr>
              <w:t xml:space="preserve">some </w:t>
            </w:r>
            <w:r w:rsidR="006321B0" w:rsidRPr="006321B0">
              <w:rPr>
                <w:sz w:val="20"/>
                <w:szCs w:val="20"/>
              </w:rPr>
              <w:t xml:space="preserve">student </w:t>
            </w:r>
            <w:r w:rsidR="00E7165C" w:rsidRPr="006321B0">
              <w:rPr>
                <w:sz w:val="20"/>
                <w:szCs w:val="20"/>
              </w:rPr>
              <w:t>engagement with the scholarly field outside the university.</w:t>
            </w:r>
            <w:r w:rsidR="006321B0" w:rsidRPr="006321B0">
              <w:rPr>
                <w:sz w:val="20"/>
                <w:szCs w:val="20"/>
              </w:rPr>
              <w:t xml:space="preserve"> Data show program has some commitment to funding their students. Overall, data indicate potential for student and program success. </w:t>
            </w:r>
          </w:p>
        </w:tc>
        <w:tc>
          <w:tcPr>
            <w:tcW w:w="3696" w:type="dxa"/>
          </w:tcPr>
          <w:p w14:paraId="07997584" w14:textId="77777777" w:rsidR="00E7165C" w:rsidRPr="006321B0" w:rsidRDefault="00E7165C" w:rsidP="00AF4A37">
            <w:pPr>
              <w:rPr>
                <w:sz w:val="20"/>
                <w:szCs w:val="20"/>
              </w:rPr>
            </w:pPr>
          </w:p>
          <w:p w14:paraId="1DCA71D5" w14:textId="05E7DB25" w:rsidR="00E7165C" w:rsidRPr="006321B0" w:rsidRDefault="007102F5" w:rsidP="00AF4A37">
            <w:pPr>
              <w:rPr>
                <w:sz w:val="20"/>
                <w:szCs w:val="20"/>
              </w:rPr>
            </w:pPr>
            <w:r w:rsidRPr="006321B0">
              <w:rPr>
                <w:sz w:val="20"/>
                <w:szCs w:val="20"/>
              </w:rPr>
              <w:t>Data</w:t>
            </w:r>
            <w:r w:rsidR="00E7165C" w:rsidRPr="006321B0">
              <w:rPr>
                <w:sz w:val="20"/>
                <w:szCs w:val="20"/>
              </w:rPr>
              <w:t xml:space="preserve"> not present or show little engagement with the scholarly field outside the university</w:t>
            </w:r>
            <w:r w:rsidR="006321B0" w:rsidRPr="006321B0">
              <w:rPr>
                <w:sz w:val="20"/>
                <w:szCs w:val="20"/>
              </w:rPr>
              <w:t xml:space="preserve">; not a very strong commitment to funding students; and/or poor completion and placement of students. </w:t>
            </w:r>
          </w:p>
        </w:tc>
      </w:tr>
    </w:tbl>
    <w:p w14:paraId="6AC87D72" w14:textId="77777777" w:rsidR="00341694" w:rsidRDefault="00341694"/>
    <w:sectPr w:rsidR="00341694" w:rsidSect="007102F5">
      <w:pgSz w:w="15840" w:h="12240" w:orient="landscape"/>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94"/>
    <w:rsid w:val="000346B8"/>
    <w:rsid w:val="0010003F"/>
    <w:rsid w:val="002346E0"/>
    <w:rsid w:val="002C5B52"/>
    <w:rsid w:val="00341694"/>
    <w:rsid w:val="00412913"/>
    <w:rsid w:val="005C63EE"/>
    <w:rsid w:val="00600F56"/>
    <w:rsid w:val="006321B0"/>
    <w:rsid w:val="00654C60"/>
    <w:rsid w:val="007102F5"/>
    <w:rsid w:val="00A248B1"/>
    <w:rsid w:val="00AF4A37"/>
    <w:rsid w:val="00C611ED"/>
    <w:rsid w:val="00CC4DE7"/>
    <w:rsid w:val="00E7165C"/>
    <w:rsid w:val="00F3625E"/>
    <w:rsid w:val="00FC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2AC8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Kitchel</dc:creator>
  <cp:keywords/>
  <dc:description/>
  <cp:lastModifiedBy>Lissa m</cp:lastModifiedBy>
  <cp:revision>4</cp:revision>
  <dcterms:created xsi:type="dcterms:W3CDTF">2019-09-18T13:50:00Z</dcterms:created>
  <dcterms:modified xsi:type="dcterms:W3CDTF">2019-09-18T14:00:00Z</dcterms:modified>
</cp:coreProperties>
</file>